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7E6E20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7E6E20" w:rsidRDefault="00C65199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7E6E20" w:rsidRDefault="00C65199">
            <w:pPr>
              <w:spacing w:after="0" w:line="240" w:lineRule="auto"/>
            </w:pPr>
            <w:r>
              <w:t>48710</w:t>
            </w:r>
          </w:p>
        </w:tc>
      </w:tr>
      <w:tr w:rsidR="007E6E20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7E6E20" w:rsidRDefault="00C65199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7E6E20" w:rsidRDefault="00C65199">
            <w:pPr>
              <w:spacing w:after="0" w:line="240" w:lineRule="auto"/>
            </w:pPr>
            <w:r>
              <w:t>DOM HRVATSKIH VETERANA</w:t>
            </w:r>
          </w:p>
        </w:tc>
      </w:tr>
      <w:tr w:rsidR="007E6E20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7E6E20" w:rsidRDefault="00C65199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7E6E20" w:rsidRDefault="00C65199">
            <w:pPr>
              <w:spacing w:after="0" w:line="240" w:lineRule="auto"/>
            </w:pPr>
            <w:r>
              <w:t>11</w:t>
            </w:r>
          </w:p>
        </w:tc>
      </w:tr>
    </w:tbl>
    <w:p w:rsidR="007E6E20" w:rsidRDefault="00C65199">
      <w:r>
        <w:br/>
      </w:r>
    </w:p>
    <w:p w:rsidR="007E6E20" w:rsidRDefault="00C65199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7E6E20" w:rsidRDefault="00C65199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7E6E20" w:rsidRDefault="00C65199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7E6E20" w:rsidRDefault="007E6E20"/>
    <w:p w:rsidR="007E6E20" w:rsidRDefault="00C65199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7E6E20" w:rsidRDefault="00C65199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E6E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E6E2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1.669.232,64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1.965.267,97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117,7</w:t>
            </w:r>
          </w:p>
        </w:tc>
      </w:tr>
      <w:tr w:rsidR="007E6E2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1.760.675,74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1.863.722,72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105,9</w:t>
            </w:r>
          </w:p>
        </w:tc>
      </w:tr>
      <w:tr w:rsidR="007E6E2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E6E20" w:rsidRDefault="007E6E2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101.545,25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7E6E2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7E6E2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22.474,74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121.140,37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539,0</w:t>
            </w:r>
          </w:p>
        </w:tc>
      </w:tr>
      <w:tr w:rsidR="007E6E2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E6E20" w:rsidRDefault="007E6E2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22.474,74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121.140,37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539,0</w:t>
            </w:r>
          </w:p>
        </w:tc>
      </w:tr>
      <w:tr w:rsidR="007E6E2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7E6E2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7E6E2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E6E20" w:rsidRDefault="007E6E2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7E6E2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E6E20" w:rsidRDefault="007E6E2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113.917,84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19.595,12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17,2</w:t>
            </w:r>
          </w:p>
        </w:tc>
      </w:tr>
    </w:tbl>
    <w:p w:rsidR="007E6E20" w:rsidRDefault="007E6E20">
      <w:pPr>
        <w:spacing w:after="0"/>
      </w:pPr>
    </w:p>
    <w:p w:rsidR="007E6E20" w:rsidRDefault="00C65199">
      <w:r>
        <w:t>U izvještajnom razdoblju ostvareni su prihodi poslovanja u iznosu od 1.965.267,97 EUR, što predstavlja povećanje od 17,7 % u odnosu na isto razdoblje prethodne godine (indeks 117,7). Ostvareni prihodi odnose se na sredstva iz nadležnog proračuna namijenjen</w:t>
      </w:r>
      <w:r>
        <w:t>a financiranju redovne djelatnosti ustanove. Rashodi poslovanja iznosili su 1.863.722,72 EUR, što je porast od 5,9 % u odnosu na prethodnu godinu (indeks 105,9). Povećanje rashoda rezultat je općeg rasta cijena roba i usluga na tržištu, uvođenja nove uslug</w:t>
      </w:r>
      <w:r>
        <w:t xml:space="preserve">e smještaja dužeg od 20 dana, kao i </w:t>
      </w:r>
      <w:r>
        <w:lastRenderedPageBreak/>
        <w:t>povećanja troškova rada, odnosno rasta plaća i naknada zaposlenika. U odnosu prihoda i rashoda poslovanja ostvaren je višak prihoda poslovanja u iznosu od 101.545,25 EUR.</w:t>
      </w:r>
    </w:p>
    <w:p w:rsidR="007E6E20" w:rsidRDefault="00C65199">
      <w:r>
        <w:t>U izvještajnom razdoblju nisu ostvareni prihodi o</w:t>
      </w:r>
      <w:r>
        <w:t>d prodaje nefinancijske imovine. Rashodi za nabavu nefinancijske imovine iznosili su 121.140,37 EUR, što predstavlja značajno povećanje u odnosu na prethodnu godinu.</w:t>
      </w:r>
    </w:p>
    <w:p w:rsidR="007E6E20" w:rsidRDefault="00C65199">
      <w:r>
        <w:t>Rashodi se odnose na nužna ulaganja u unapređenje funkcionalnosti i pristupačnosti prostor</w:t>
      </w:r>
      <w:r>
        <w:t>a, uključujući prilagodbu soba osobama smanjene pokretljivosti, zamjenu dotrajale opreme i namještaja te nabavu medicinske opreme. Izvedeni su manji građevinski zahvati i zamijenjeni dotrajali uređaji, a radi učinkovitije organizacije rada nabavljeno je sl</w:t>
      </w:r>
      <w:r>
        <w:t>užbeno vozilo. Zbog izostanka prihoda od prodaje nefinancijske imovine ostvaren je manjak u iznosu od 121.140,37 EUR. Dom u izvještajnom razdoblju nije imao primitaka ni izdataka vezanih uz financijsku imovinu i zaduživanje.</w:t>
      </w:r>
    </w:p>
    <w:p w:rsidR="007E6E20" w:rsidRDefault="00C65199">
      <w:r>
        <w:t>Ukupni prihodi iskazani su u iz</w:t>
      </w:r>
      <w:r>
        <w:t>nosu od 1.965.267,97 eura, a rashodi u iznosu od 1.863.722,72 eura te je iskazan ukupan manjak prihoda u iznosu od 133.512,96 eura.</w:t>
      </w:r>
    </w:p>
    <w:p w:rsidR="007E6E20" w:rsidRDefault="00C65199">
      <w:r>
        <w:t>Zbog modificiranog računovodstvenog načela nastanka poslovnih događaja manjak prihoda iskazan je na obvezama i podmiren je t</w:t>
      </w:r>
      <w:r>
        <w:t>ijekom 2026. godine (odnosi se na plaće i ugovore o djelu za prosinac 2025. godine i račune koji su evidentirani tijekom 2025. godine, a dospijeće im je u 2026. godini).</w:t>
      </w:r>
    </w:p>
    <w:p w:rsidR="007E6E20" w:rsidRDefault="00C65199">
      <w:r>
        <w:br/>
      </w:r>
    </w:p>
    <w:p w:rsidR="007E6E20" w:rsidRDefault="00C65199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E6E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</w:t>
            </w:r>
            <w:r>
              <w:rPr>
                <w:b/>
                <w:sz w:val="18"/>
              </w:rPr>
              <w:t xml:space="preserve">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E6E2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22.474,74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121.140,37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539,0</w:t>
            </w:r>
          </w:p>
        </w:tc>
      </w:tr>
    </w:tbl>
    <w:p w:rsidR="007E6E20" w:rsidRDefault="007E6E20">
      <w:pPr>
        <w:spacing w:after="0"/>
      </w:pPr>
    </w:p>
    <w:p w:rsidR="007E6E20" w:rsidRDefault="00C65199">
      <w:r>
        <w:t>Prihodi iz nadležnog proračuna za financiranje rashoda za nabavu nefinancijske imovine u izvještajnom razdoblju ostvareni su u iznosu od 121.140,37 EUR, što predstavlja povećanje u odnosu na prethodnu godinu. Sredstva su namijenjena i utrošena na nužna ula</w:t>
      </w:r>
      <w:r>
        <w:t>ganja u unapređenje funkcionalnosti i pristupačnosti prostora, uključujući prilagodbu dijela soba osobama smanjene pokretljivosti, zamjenu dotrajalog namještaja, uređaja i opreme, nabavu medicinske i uredske opreme, izvođenje radova na prozorskim elementim</w:t>
      </w:r>
      <w:r>
        <w:t>a te nabavu dodatnog službenog vozila radi učinkovitije organizacije rada.</w:t>
      </w:r>
    </w:p>
    <w:p w:rsidR="007E6E20" w:rsidRDefault="007E6E20"/>
    <w:p w:rsidR="007E6E20" w:rsidRDefault="00C65199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E6E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E6E2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Stručno </w:t>
            </w:r>
            <w:r>
              <w:rPr>
                <w:sz w:val="18"/>
              </w:rPr>
              <w:t>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5.469,62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9.332,75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170,6</w:t>
            </w:r>
          </w:p>
        </w:tc>
      </w:tr>
    </w:tbl>
    <w:p w:rsidR="007E6E20" w:rsidRDefault="007E6E20">
      <w:pPr>
        <w:spacing w:after="0"/>
      </w:pPr>
    </w:p>
    <w:p w:rsidR="007E6E20" w:rsidRDefault="00C65199">
      <w:r>
        <w:lastRenderedPageBreak/>
        <w:t>Zbog uvođenja nove usluge odnosno promijenjene strukture korisnika bilo je potrebno dodatno stjecanje i usavršavanje znanja zaposlenika.</w:t>
      </w:r>
    </w:p>
    <w:p w:rsidR="007E6E20" w:rsidRDefault="007E6E20"/>
    <w:p w:rsidR="007E6E20" w:rsidRDefault="00C65199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E6E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E6E2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sirovine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2.524,87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11.164,98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442,2</w:t>
            </w:r>
          </w:p>
        </w:tc>
      </w:tr>
    </w:tbl>
    <w:p w:rsidR="007E6E20" w:rsidRDefault="007E6E20">
      <w:pPr>
        <w:spacing w:after="0"/>
      </w:pPr>
    </w:p>
    <w:p w:rsidR="007E6E20" w:rsidRDefault="00C65199">
      <w:r>
        <w:t>Uvođenjem usluge smještaja u trajanju duljem od 20 dana povećala su se davanja za sanitetski, higijenski i medicinski materijal.</w:t>
      </w:r>
    </w:p>
    <w:p w:rsidR="007E6E20" w:rsidRDefault="007E6E20"/>
    <w:p w:rsidR="007E6E20" w:rsidRDefault="00C65199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E6E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</w:t>
            </w:r>
            <w:r>
              <w:rPr>
                <w:b/>
                <w:sz w:val="18"/>
              </w:rPr>
              <w:t xml:space="preserve">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E6E2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Zakupnine i najamnine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12.579,95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25.549,20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203,1</w:t>
            </w:r>
          </w:p>
        </w:tc>
      </w:tr>
    </w:tbl>
    <w:p w:rsidR="007E6E20" w:rsidRDefault="007E6E20">
      <w:pPr>
        <w:spacing w:after="0"/>
      </w:pPr>
    </w:p>
    <w:p w:rsidR="007E6E20" w:rsidRDefault="00C65199">
      <w:r>
        <w:t>Za potrebe rada ravnateljstva unajmljen je uredski prostor.</w:t>
      </w:r>
    </w:p>
    <w:p w:rsidR="007E6E20" w:rsidRDefault="007E6E20"/>
    <w:p w:rsidR="007E6E20" w:rsidRDefault="00C65199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E6E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prethodne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E6E2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148.126,87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202.886,93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137,0</w:t>
            </w:r>
          </w:p>
        </w:tc>
      </w:tr>
    </w:tbl>
    <w:p w:rsidR="007E6E20" w:rsidRDefault="007E6E20">
      <w:pPr>
        <w:spacing w:after="0"/>
      </w:pPr>
    </w:p>
    <w:p w:rsidR="007E6E20" w:rsidRDefault="00C65199">
      <w:r>
        <w:t>Porast je nastao zbog povećanja naknada kako bi pratile trend rasta plaća na tržištu rada i zbog potrebe dodatnog zapošljavanja po ugovoru o djelu.</w:t>
      </w:r>
    </w:p>
    <w:p w:rsidR="007E6E20" w:rsidRDefault="007E6E20"/>
    <w:p w:rsidR="007E6E20" w:rsidRDefault="00C65199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E6E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</w:t>
            </w:r>
            <w:r>
              <w:rPr>
                <w:b/>
                <w:sz w:val="18"/>
              </w:rPr>
              <w:t>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E6E2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Računalne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13.242,65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18.523,67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139,9</w:t>
            </w:r>
          </w:p>
        </w:tc>
      </w:tr>
    </w:tbl>
    <w:p w:rsidR="007E6E20" w:rsidRDefault="007E6E20">
      <w:pPr>
        <w:spacing w:after="0"/>
      </w:pPr>
    </w:p>
    <w:p w:rsidR="007E6E20" w:rsidRDefault="00C65199">
      <w:r>
        <w:t>Poskupljenje usluga održavanje web aplikacije i evidencije korisnika.</w:t>
      </w:r>
    </w:p>
    <w:p w:rsidR="007E6E20" w:rsidRDefault="007E6E20"/>
    <w:p w:rsidR="007E6E20" w:rsidRDefault="00C65199">
      <w:pPr>
        <w:keepNext/>
        <w:spacing w:line="240" w:lineRule="auto"/>
        <w:jc w:val="center"/>
      </w:pPr>
      <w:r>
        <w:rPr>
          <w:sz w:val="28"/>
        </w:rPr>
        <w:lastRenderedPageBreak/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E6E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</w:t>
            </w:r>
            <w:r>
              <w:rPr>
                <w:b/>
                <w:sz w:val="18"/>
              </w:rPr>
              <w:t xml:space="preserve">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E6E2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22.474,74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121.140,37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539,0</w:t>
            </w:r>
          </w:p>
        </w:tc>
      </w:tr>
    </w:tbl>
    <w:p w:rsidR="007E6E20" w:rsidRDefault="007E6E20">
      <w:pPr>
        <w:spacing w:after="0"/>
      </w:pPr>
    </w:p>
    <w:p w:rsidR="007E6E20" w:rsidRDefault="00C65199">
      <w:r>
        <w:t>Rashodi za nabavu nefinancijske imovine u iznosu od 121.140,37 EUR odnose se na nužna ulaganja u funkcionalnost i pristupačnost prostora, zamjenu dotrajale opreme i namještaja te nabavu službenog vozila.</w:t>
      </w:r>
    </w:p>
    <w:p w:rsidR="007E6E20" w:rsidRDefault="007E6E20"/>
    <w:p w:rsidR="007E6E20" w:rsidRDefault="00C65199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:rsidR="007E6E20" w:rsidRDefault="00C65199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E6E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E6E2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023 i 02923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Prijevozna sredstva (šifre 0231 do 0234 - 02923)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023 i 02923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8.263,93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32.573,14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394,2</w:t>
            </w:r>
          </w:p>
        </w:tc>
      </w:tr>
    </w:tbl>
    <w:p w:rsidR="007E6E20" w:rsidRDefault="007E6E20">
      <w:pPr>
        <w:spacing w:after="0"/>
      </w:pPr>
    </w:p>
    <w:p w:rsidR="007E6E20" w:rsidRDefault="00C65199">
      <w:r>
        <w:t>Radi efikasnije organizacije rada nabavljeno je dodatno službeno vozilo.</w:t>
      </w:r>
    </w:p>
    <w:p w:rsidR="007E6E20" w:rsidRDefault="007E6E20"/>
    <w:p w:rsidR="007E6E20" w:rsidRDefault="00C65199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:rsidR="007E6E20" w:rsidRDefault="00C65199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E6E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E6E2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vrijednosti imovine (šifre P001+P008)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65.704,95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7E6E20" w:rsidRDefault="007E6E20">
      <w:pPr>
        <w:spacing w:after="0"/>
      </w:pPr>
    </w:p>
    <w:p w:rsidR="007E6E20" w:rsidRDefault="00C65199">
      <w:r>
        <w:t>Značajnije promjene u vrijednosti imovine iskazane su u iznosu od 65.704,95 eura, a odnose se ispravak vrijednosti postrojenja i opreme za tekuće razdoblje, sukladno stopama iz Pravilnika o proračunskom računovodstvu.</w:t>
      </w:r>
    </w:p>
    <w:p w:rsidR="007E6E20" w:rsidRDefault="007E6E20"/>
    <w:p w:rsidR="007E6E20" w:rsidRDefault="00C65199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7E6E20" w:rsidRDefault="00C65199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7E6E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</w:t>
            </w:r>
            <w:r>
              <w:rPr>
                <w:b/>
                <w:sz w:val="18"/>
              </w:rPr>
              <w:t xml:space="preserve">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E6E2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E6E20" w:rsidRDefault="007E6E2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E6E20" w:rsidRDefault="00C6519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7E6E20" w:rsidRDefault="007E6E20">
      <w:pPr>
        <w:spacing w:after="0"/>
      </w:pPr>
    </w:p>
    <w:p w:rsidR="007E6E20" w:rsidRDefault="00C65199">
      <w:r>
        <w:t>Na kraju izvještajnog razdoblja nema dospjelih obveza.</w:t>
      </w:r>
      <w:bookmarkStart w:id="0" w:name="_GoBack"/>
      <w:bookmarkEnd w:id="0"/>
    </w:p>
    <w:sectPr w:rsidR="007E6E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E20"/>
    <w:rsid w:val="007E6E20"/>
    <w:rsid w:val="00C6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E97710-C009-41B6-BCE6-D41EDAA19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1069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DHVL2</dc:creator>
  <cp:lastModifiedBy>DHVL2</cp:lastModifiedBy>
  <cp:revision>2</cp:revision>
  <dcterms:created xsi:type="dcterms:W3CDTF">2026-01-29T11:51:00Z</dcterms:created>
  <dcterms:modified xsi:type="dcterms:W3CDTF">2026-01-29T11:51:00Z</dcterms:modified>
</cp:coreProperties>
</file>